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BEC87">
      <w:pPr>
        <w:jc w:val="center"/>
        <w:rPr>
          <w:rFonts w:hint="eastAsia" w:eastAsia="黑体"/>
          <w:b/>
          <w:lang w:val="en-US" w:eastAsia="zh-CN"/>
        </w:rPr>
      </w:pPr>
      <w:r>
        <w:rPr>
          <w:rFonts w:hint="eastAsia" w:eastAsia="黑体"/>
          <w:sz w:val="36"/>
          <w:szCs w:val="36"/>
        </w:rPr>
        <w:t>哈尔滨工业大学医学与健康学院硕士招生复试参</w:t>
      </w:r>
      <w:r>
        <w:rPr>
          <w:rFonts w:hint="eastAsia" w:eastAsia="黑体"/>
          <w:sz w:val="36"/>
          <w:szCs w:val="36"/>
          <w:lang w:val="en-US" w:eastAsia="zh-CN"/>
        </w:rPr>
        <w:t>考</w:t>
      </w:r>
    </w:p>
    <w:p w14:paraId="3F5CCBF9">
      <w:pPr>
        <w:jc w:val="center"/>
        <w:rPr>
          <w:rFonts w:hint="eastAsia"/>
          <w:b/>
        </w:rPr>
      </w:pPr>
    </w:p>
    <w:p w14:paraId="01E00AED">
      <w:pPr>
        <w:spacing w:line="360" w:lineRule="auto"/>
        <w:ind w:firstLine="480" w:firstLineChars="200"/>
        <w:rPr>
          <w:rFonts w:hint="eastAsia" w:ascii="仿宋_GB2312" w:eastAsia="仿宋_GB2312"/>
          <w:color w:val="000000"/>
          <w:sz w:val="24"/>
        </w:rPr>
      </w:pPr>
      <w:r>
        <w:rPr>
          <w:rFonts w:hint="eastAsia" w:ascii="仿宋_GB2312" w:eastAsia="仿宋_GB2312"/>
          <w:color w:val="000000"/>
          <w:sz w:val="24"/>
        </w:rPr>
        <w:t>按照教育部关于加强硕士研究生招生复试工作的指导意见及学校有关要求，医学与健康学院2025年硕士招生复试参考确定如下：</w:t>
      </w:r>
    </w:p>
    <w:p w14:paraId="5DB40E02">
      <w:pPr>
        <w:numPr>
          <w:ilvl w:val="0"/>
          <w:numId w:val="1"/>
        </w:numPr>
        <w:spacing w:line="360" w:lineRule="auto"/>
        <w:outlineLvl w:val="0"/>
        <w:rPr>
          <w:rFonts w:hint="eastAsia" w:ascii="仿宋_GB2312" w:eastAsia="仿宋_GB2312"/>
          <w:b w:val="0"/>
          <w:bCs w:val="0"/>
          <w:sz w:val="24"/>
          <w:lang w:eastAsia="zh-CN"/>
        </w:rPr>
      </w:pPr>
      <w:r>
        <w:rPr>
          <w:rFonts w:hint="eastAsia" w:ascii="仿宋_GB2312" w:eastAsia="仿宋_GB2312"/>
          <w:b w:val="0"/>
          <w:bCs w:val="0"/>
          <w:sz w:val="24"/>
        </w:rPr>
        <w:t>我校2025年统考硕士总录取成绩中初试成绩与复试成绩各占比50%。复试由专业综合测试、面试考核两部分组成</w:t>
      </w:r>
      <w:r>
        <w:rPr>
          <w:rFonts w:hint="eastAsia" w:ascii="仿宋_GB2312" w:eastAsia="仿宋_GB2312"/>
          <w:b w:val="0"/>
          <w:bCs w:val="0"/>
          <w:sz w:val="24"/>
          <w:lang w:eastAsia="zh-CN"/>
        </w:rPr>
        <w:t>。</w:t>
      </w:r>
    </w:p>
    <w:p w14:paraId="5C45D68D">
      <w:pPr>
        <w:numPr>
          <w:ilvl w:val="0"/>
          <w:numId w:val="1"/>
        </w:numPr>
        <w:spacing w:line="360" w:lineRule="auto"/>
        <w:outlineLvl w:val="0"/>
        <w:rPr>
          <w:rFonts w:hint="eastAsia" w:ascii="仿宋_GB2312" w:eastAsia="仿宋_GB2312"/>
          <w:b w:val="0"/>
          <w:bCs w:val="0"/>
          <w:sz w:val="24"/>
          <w:lang w:eastAsia="zh-CN"/>
        </w:rPr>
      </w:pPr>
      <w:r>
        <w:rPr>
          <w:rFonts w:hint="eastAsia" w:ascii="仿宋_GB2312" w:eastAsia="仿宋_GB2312"/>
          <w:b w:val="0"/>
          <w:bCs w:val="0"/>
          <w:sz w:val="24"/>
          <w:lang w:eastAsia="zh-CN"/>
        </w:rPr>
        <w:t>综合测试按照不同招生方向分别出题，针对本科四年学过的课程中所涉及的相关基础知识、基本概念和学生问题的解析能力等内容，进行重点考察。</w:t>
      </w:r>
    </w:p>
    <w:tbl>
      <w:tblPr>
        <w:tblStyle w:val="3"/>
        <w:tblW w:w="8558" w:type="dxa"/>
        <w:jc w:val="center"/>
        <w:tblLayout w:type="autofit"/>
        <w:tblCellMar>
          <w:top w:w="0" w:type="dxa"/>
          <w:left w:w="108" w:type="dxa"/>
          <w:bottom w:w="0" w:type="dxa"/>
          <w:right w:w="108" w:type="dxa"/>
        </w:tblCellMar>
      </w:tblPr>
      <w:tblGrid>
        <w:gridCol w:w="4822"/>
        <w:gridCol w:w="3736"/>
      </w:tblGrid>
      <w:tr w14:paraId="0E6A1745">
        <w:tblPrEx>
          <w:tblCellMar>
            <w:top w:w="0" w:type="dxa"/>
            <w:left w:w="108" w:type="dxa"/>
            <w:bottom w:w="0" w:type="dxa"/>
            <w:right w:w="108" w:type="dxa"/>
          </w:tblCellMar>
        </w:tblPrEx>
        <w:trPr>
          <w:trHeight w:val="347" w:hRule="atLeast"/>
          <w:jc w:val="center"/>
        </w:trPr>
        <w:tc>
          <w:tcPr>
            <w:tcW w:w="4822" w:type="dxa"/>
            <w:tcBorders>
              <w:top w:val="single" w:color="auto" w:sz="4" w:space="0"/>
              <w:left w:val="single" w:color="auto" w:sz="4" w:space="0"/>
              <w:bottom w:val="single" w:color="auto" w:sz="4" w:space="0"/>
              <w:right w:val="single" w:color="auto" w:sz="4" w:space="0"/>
            </w:tcBorders>
            <w:noWrap/>
            <w:vAlign w:val="top"/>
          </w:tcPr>
          <w:p w14:paraId="503081E5">
            <w:pPr>
              <w:spacing w:line="360" w:lineRule="exact"/>
              <w:rPr>
                <w:rFonts w:hint="eastAsia" w:ascii="仿宋" w:hAnsi="仿宋" w:eastAsia="仿宋" w:cs="仿宋"/>
                <w:sz w:val="24"/>
              </w:rPr>
            </w:pPr>
            <w:r>
              <w:rPr>
                <w:rFonts w:hint="eastAsia" w:ascii="仿宋" w:hAnsi="仿宋" w:eastAsia="仿宋" w:cs="仿宋"/>
                <w:sz w:val="24"/>
              </w:rPr>
              <w:t>硕士复试综合测试题组</w:t>
            </w:r>
          </w:p>
        </w:tc>
        <w:tc>
          <w:tcPr>
            <w:tcW w:w="3736" w:type="dxa"/>
            <w:tcBorders>
              <w:top w:val="single" w:color="auto" w:sz="4" w:space="0"/>
              <w:left w:val="nil"/>
              <w:bottom w:val="single" w:color="auto" w:sz="4" w:space="0"/>
              <w:right w:val="single" w:color="auto" w:sz="4" w:space="0"/>
            </w:tcBorders>
            <w:noWrap/>
            <w:vAlign w:val="top"/>
          </w:tcPr>
          <w:p w14:paraId="4404D3AD">
            <w:pPr>
              <w:spacing w:line="360" w:lineRule="exact"/>
              <w:rPr>
                <w:rFonts w:hint="eastAsia" w:ascii="仿宋" w:hAnsi="仿宋" w:eastAsia="仿宋" w:cs="仿宋"/>
                <w:sz w:val="24"/>
              </w:rPr>
            </w:pPr>
            <w:r>
              <w:rPr>
                <w:rFonts w:hint="eastAsia" w:ascii="仿宋" w:hAnsi="仿宋" w:eastAsia="仿宋" w:cs="仿宋"/>
                <w:sz w:val="24"/>
              </w:rPr>
              <w:t>学科代码、名称、可选题组</w:t>
            </w:r>
          </w:p>
        </w:tc>
      </w:tr>
      <w:tr w14:paraId="50F10A0C">
        <w:tblPrEx>
          <w:tblCellMar>
            <w:top w:w="0" w:type="dxa"/>
            <w:left w:w="108" w:type="dxa"/>
            <w:bottom w:w="0" w:type="dxa"/>
            <w:right w:w="108" w:type="dxa"/>
          </w:tblCellMar>
        </w:tblPrEx>
        <w:trPr>
          <w:trHeight w:val="695" w:hRule="atLeast"/>
          <w:jc w:val="center"/>
        </w:trPr>
        <w:tc>
          <w:tcPr>
            <w:tcW w:w="4822" w:type="dxa"/>
            <w:tcBorders>
              <w:top w:val="single" w:color="auto" w:sz="4" w:space="0"/>
              <w:left w:val="single" w:color="auto" w:sz="4" w:space="0"/>
              <w:bottom w:val="single" w:color="auto" w:sz="4" w:space="0"/>
              <w:right w:val="single" w:color="auto" w:sz="4" w:space="0"/>
            </w:tcBorders>
            <w:noWrap/>
            <w:vAlign w:val="top"/>
          </w:tcPr>
          <w:p w14:paraId="74CEB93C">
            <w:pPr>
              <w:spacing w:line="360" w:lineRule="exact"/>
              <w:rPr>
                <w:rFonts w:hint="eastAsia" w:ascii="仿宋" w:hAnsi="仿宋" w:eastAsia="仿宋" w:cs="仿宋"/>
                <w:sz w:val="24"/>
              </w:rPr>
            </w:pPr>
            <w:r>
              <w:rPr>
                <w:rFonts w:hint="eastAsia" w:ascii="仿宋" w:hAnsi="仿宋" w:eastAsia="仿宋" w:cs="仿宋"/>
                <w:sz w:val="24"/>
              </w:rPr>
              <w:t>① 生物信息学</w:t>
            </w:r>
          </w:p>
          <w:p w14:paraId="500804D6">
            <w:pPr>
              <w:spacing w:line="360" w:lineRule="exact"/>
              <w:rPr>
                <w:rFonts w:hint="eastAsia" w:ascii="仿宋" w:hAnsi="仿宋" w:eastAsia="仿宋" w:cs="仿宋"/>
                <w:sz w:val="24"/>
              </w:rPr>
            </w:pPr>
            <w:r>
              <w:rPr>
                <w:rFonts w:hint="eastAsia" w:ascii="仿宋" w:hAnsi="仿宋" w:eastAsia="仿宋" w:cs="仿宋"/>
                <w:sz w:val="24"/>
              </w:rPr>
              <w:t>1-1.计算思维能力：考查学生运用算法思维解决问题的能力。</w:t>
            </w:r>
          </w:p>
          <w:p w14:paraId="2CACFB4A">
            <w:pPr>
              <w:spacing w:line="360" w:lineRule="exact"/>
              <w:rPr>
                <w:rFonts w:hint="eastAsia" w:ascii="仿宋" w:hAnsi="仿宋" w:eastAsia="仿宋" w:cs="仿宋"/>
                <w:sz w:val="24"/>
              </w:rPr>
            </w:pPr>
            <w:r>
              <w:rPr>
                <w:rFonts w:hint="eastAsia" w:ascii="仿宋" w:hAnsi="仿宋" w:eastAsia="仿宋" w:cs="仿宋"/>
                <w:sz w:val="24"/>
              </w:rPr>
              <w:t>1-2.问题求解能力：考查学生综合运用知识解决问题的能力。</w:t>
            </w:r>
          </w:p>
          <w:p w14:paraId="4EDABBAB">
            <w:pPr>
              <w:spacing w:line="360" w:lineRule="exact"/>
              <w:rPr>
                <w:rFonts w:hint="eastAsia" w:ascii="仿宋" w:hAnsi="仿宋" w:eastAsia="仿宋" w:cs="仿宋"/>
                <w:sz w:val="24"/>
              </w:rPr>
            </w:pPr>
            <w:r>
              <w:rPr>
                <w:rFonts w:hint="eastAsia" w:ascii="仿宋" w:hAnsi="仿宋" w:eastAsia="仿宋" w:cs="仿宋"/>
                <w:sz w:val="24"/>
              </w:rPr>
              <w:t>1-3.专业基础知识：考察生物信息学核心课程的基础知识。</w:t>
            </w:r>
          </w:p>
        </w:tc>
        <w:tc>
          <w:tcPr>
            <w:tcW w:w="3736" w:type="dxa"/>
            <w:vMerge w:val="restart"/>
            <w:tcBorders>
              <w:top w:val="single" w:color="auto" w:sz="4" w:space="0"/>
              <w:left w:val="nil"/>
              <w:right w:val="single" w:color="auto" w:sz="4" w:space="0"/>
            </w:tcBorders>
            <w:noWrap/>
            <w:vAlign w:val="center"/>
          </w:tcPr>
          <w:p w14:paraId="1330675F">
            <w:pPr>
              <w:widowControl/>
              <w:spacing w:line="420" w:lineRule="atLeast"/>
              <w:jc w:val="left"/>
              <w:rPr>
                <w:rFonts w:hint="default" w:ascii="仿宋" w:hAnsi="仿宋" w:eastAsia="仿宋" w:cs="仿宋"/>
                <w:color w:val="333333"/>
                <w:szCs w:val="21"/>
                <w:lang w:val="en-US" w:eastAsia="zh-CN"/>
              </w:rPr>
            </w:pPr>
            <w:r>
              <w:rPr>
                <w:rStyle w:val="5"/>
                <w:rFonts w:hint="eastAsia" w:ascii="仿宋" w:hAnsi="仿宋" w:eastAsia="仿宋" w:cs="仿宋"/>
                <w:bCs/>
                <w:color w:val="3F3F3F"/>
                <w:kern w:val="0"/>
                <w:sz w:val="24"/>
                <w:lang w:bidi="ar"/>
              </w:rPr>
              <w:t>0831 生物医学工程</w:t>
            </w:r>
            <w:r>
              <w:rPr>
                <w:rStyle w:val="5"/>
                <w:rFonts w:hint="eastAsia" w:ascii="仿宋" w:hAnsi="仿宋" w:eastAsia="仿宋" w:cs="仿宋"/>
                <w:bCs/>
                <w:color w:val="3F3F3F"/>
                <w:kern w:val="0"/>
                <w:sz w:val="24"/>
                <w:lang w:eastAsia="zh-CN" w:bidi="ar"/>
              </w:rPr>
              <w:t>（</w:t>
            </w:r>
            <w:r>
              <w:rPr>
                <w:rStyle w:val="5"/>
                <w:rFonts w:hint="eastAsia" w:ascii="仿宋" w:hAnsi="仿宋" w:eastAsia="仿宋" w:cs="仿宋"/>
                <w:bCs/>
                <w:color w:val="3F3F3F"/>
                <w:kern w:val="0"/>
                <w:sz w:val="24"/>
                <w:lang w:val="en-US" w:eastAsia="zh-CN" w:bidi="ar"/>
              </w:rPr>
              <w:t>工）</w:t>
            </w:r>
          </w:p>
          <w:p w14:paraId="3931F3C4">
            <w:pPr>
              <w:widowControl/>
              <w:spacing w:line="420" w:lineRule="atLeast"/>
              <w:jc w:val="left"/>
              <w:rPr>
                <w:rFonts w:hint="eastAsia" w:ascii="仿宋" w:hAnsi="仿宋" w:eastAsia="仿宋" w:cs="仿宋"/>
                <w:color w:val="333333"/>
                <w:szCs w:val="21"/>
              </w:rPr>
            </w:pPr>
            <w:r>
              <w:rPr>
                <w:rFonts w:hint="eastAsia" w:ascii="仿宋" w:hAnsi="仿宋" w:eastAsia="仿宋" w:cs="仿宋"/>
                <w:color w:val="3F3F3F"/>
                <w:kern w:val="0"/>
                <w:sz w:val="24"/>
                <w:lang w:bidi="ar"/>
              </w:rPr>
              <w:t>083101 </w:t>
            </w:r>
            <w:r>
              <w:rPr>
                <w:rFonts w:hint="eastAsia" w:ascii="仿宋" w:hAnsi="仿宋" w:eastAsia="仿宋" w:cs="仿宋"/>
                <w:color w:val="3F3F3F"/>
                <w:kern w:val="0"/>
                <w:sz w:val="24"/>
                <w:shd w:val="clear" w:color="auto" w:fill="FFFFFF"/>
                <w:lang w:bidi="ar"/>
              </w:rPr>
              <w:t>生物信息与基因组学：①组； </w:t>
            </w:r>
          </w:p>
          <w:p w14:paraId="1870DB2C">
            <w:pPr>
              <w:widowControl/>
              <w:spacing w:line="420" w:lineRule="atLeast"/>
              <w:jc w:val="left"/>
              <w:rPr>
                <w:rFonts w:hint="eastAsia" w:ascii="仿宋" w:hAnsi="仿宋" w:eastAsia="仿宋" w:cs="仿宋"/>
                <w:color w:val="333333"/>
                <w:szCs w:val="21"/>
              </w:rPr>
            </w:pPr>
            <w:r>
              <w:rPr>
                <w:rFonts w:hint="eastAsia" w:ascii="仿宋" w:hAnsi="仿宋" w:eastAsia="仿宋" w:cs="仿宋"/>
                <w:color w:val="3F3F3F"/>
                <w:kern w:val="0"/>
                <w:sz w:val="24"/>
                <w:shd w:val="clear" w:color="auto" w:fill="FFFFFF"/>
                <w:lang w:bidi="ar"/>
              </w:rPr>
              <w:t>083102 智能医学工程：②组；</w:t>
            </w:r>
          </w:p>
          <w:p w14:paraId="07D6B7CC">
            <w:pPr>
              <w:widowControl/>
              <w:spacing w:line="420" w:lineRule="atLeast"/>
              <w:jc w:val="left"/>
              <w:rPr>
                <w:rFonts w:hint="eastAsia" w:ascii="仿宋" w:hAnsi="仿宋" w:eastAsia="仿宋" w:cs="仿宋"/>
                <w:color w:val="333333"/>
                <w:szCs w:val="21"/>
              </w:rPr>
            </w:pPr>
            <w:r>
              <w:rPr>
                <w:rFonts w:hint="eastAsia" w:ascii="仿宋" w:hAnsi="仿宋" w:eastAsia="仿宋" w:cs="仿宋"/>
                <w:color w:val="3F3F3F"/>
                <w:kern w:val="0"/>
                <w:sz w:val="24"/>
                <w:shd w:val="clear" w:color="auto" w:fill="FFFFFF"/>
                <w:lang w:bidi="ar"/>
              </w:rPr>
              <w:t>083103纳米医学与药物：③组；</w:t>
            </w:r>
          </w:p>
          <w:p w14:paraId="6A5C2F7B">
            <w:pPr>
              <w:widowControl/>
              <w:spacing w:line="420" w:lineRule="atLeast"/>
              <w:jc w:val="left"/>
              <w:rPr>
                <w:rFonts w:hint="eastAsia" w:ascii="仿宋" w:hAnsi="仿宋" w:eastAsia="仿宋" w:cs="仿宋"/>
                <w:color w:val="333333"/>
                <w:szCs w:val="21"/>
              </w:rPr>
            </w:pPr>
            <w:r>
              <w:rPr>
                <w:rFonts w:hint="eastAsia" w:ascii="仿宋" w:hAnsi="仿宋" w:eastAsia="仿宋" w:cs="仿宋"/>
                <w:color w:val="3F3F3F"/>
                <w:kern w:val="0"/>
                <w:sz w:val="24"/>
                <w:shd w:val="clear" w:color="auto" w:fill="FFFFFF"/>
                <w:lang w:bidi="ar"/>
              </w:rPr>
              <w:t>083104精准医学与健康：①组或③组；</w:t>
            </w:r>
          </w:p>
          <w:p w14:paraId="18E8E237">
            <w:pPr>
              <w:widowControl/>
              <w:spacing w:line="420" w:lineRule="atLeast"/>
              <w:jc w:val="left"/>
              <w:rPr>
                <w:rFonts w:hint="eastAsia" w:ascii="仿宋" w:hAnsi="仿宋" w:eastAsia="仿宋" w:cs="仿宋"/>
                <w:color w:val="333333"/>
                <w:szCs w:val="21"/>
              </w:rPr>
            </w:pPr>
            <w:r>
              <w:rPr>
                <w:rFonts w:hint="eastAsia" w:ascii="仿宋" w:hAnsi="仿宋" w:eastAsia="仿宋" w:cs="仿宋"/>
                <w:color w:val="3F3F3F"/>
                <w:kern w:val="0"/>
                <w:sz w:val="24"/>
                <w:shd w:val="clear" w:color="auto" w:fill="FFFFFF"/>
                <w:lang w:bidi="ar"/>
              </w:rPr>
              <w:t>083105 数字医疗健康：①组或②组；</w:t>
            </w:r>
          </w:p>
          <w:p w14:paraId="316AAD70">
            <w:pPr>
              <w:widowControl/>
              <w:spacing w:line="420" w:lineRule="atLeast"/>
              <w:jc w:val="left"/>
              <w:rPr>
                <w:rFonts w:hint="eastAsia" w:ascii="仿宋" w:hAnsi="仿宋" w:eastAsia="仿宋" w:cs="仿宋"/>
                <w:color w:val="333333"/>
                <w:szCs w:val="21"/>
              </w:rPr>
            </w:pPr>
            <w:r>
              <w:rPr>
                <w:rFonts w:hint="eastAsia" w:ascii="仿宋" w:hAnsi="仿宋" w:eastAsia="仿宋" w:cs="仿宋"/>
                <w:color w:val="3F3F3F"/>
                <w:kern w:val="0"/>
                <w:sz w:val="24"/>
                <w:shd w:val="clear" w:color="auto" w:fill="FFFFFF"/>
                <w:lang w:bidi="ar"/>
              </w:rPr>
              <w:t> </w:t>
            </w:r>
          </w:p>
          <w:p w14:paraId="464A5A3D">
            <w:pPr>
              <w:widowControl/>
              <w:spacing w:line="420" w:lineRule="atLeast"/>
              <w:jc w:val="left"/>
              <w:rPr>
                <w:rFonts w:hint="eastAsia" w:ascii="仿宋" w:hAnsi="仿宋" w:eastAsia="仿宋" w:cs="仿宋"/>
                <w:color w:val="333333"/>
                <w:szCs w:val="21"/>
              </w:rPr>
            </w:pPr>
            <w:r>
              <w:rPr>
                <w:rStyle w:val="5"/>
                <w:rFonts w:hint="eastAsia" w:ascii="仿宋" w:hAnsi="仿宋" w:eastAsia="仿宋" w:cs="仿宋"/>
                <w:bCs/>
                <w:color w:val="3F3F3F"/>
                <w:kern w:val="0"/>
                <w:sz w:val="24"/>
                <w:shd w:val="clear" w:color="auto" w:fill="FFFFFF"/>
                <w:lang w:bidi="ar"/>
              </w:rPr>
              <w:t>0832 食品科学与工程</w:t>
            </w:r>
          </w:p>
          <w:p w14:paraId="0111CB66">
            <w:pPr>
              <w:widowControl/>
              <w:spacing w:line="420" w:lineRule="atLeast"/>
              <w:jc w:val="left"/>
              <w:rPr>
                <w:rFonts w:hint="eastAsia" w:ascii="仿宋" w:hAnsi="仿宋" w:eastAsia="仿宋" w:cs="仿宋"/>
                <w:color w:val="3F3F3F"/>
                <w:kern w:val="0"/>
                <w:sz w:val="24"/>
                <w:shd w:val="clear" w:color="auto" w:fill="FFFFFF"/>
                <w:lang w:bidi="ar"/>
              </w:rPr>
            </w:pPr>
            <w:r>
              <w:rPr>
                <w:rFonts w:hint="eastAsia" w:ascii="仿宋" w:hAnsi="仿宋" w:eastAsia="仿宋" w:cs="仿宋"/>
                <w:color w:val="3F3F3F"/>
                <w:kern w:val="0"/>
                <w:sz w:val="24"/>
                <w:shd w:val="clear" w:color="auto" w:fill="FFFFFF"/>
                <w:lang w:bidi="ar"/>
              </w:rPr>
              <w:t>083201 天然产物与营养健康：④组；</w:t>
            </w:r>
          </w:p>
          <w:p w14:paraId="08031A88">
            <w:pPr>
              <w:widowControl/>
              <w:spacing w:line="420" w:lineRule="atLeast"/>
              <w:jc w:val="left"/>
              <w:rPr>
                <w:rFonts w:hint="eastAsia" w:ascii="仿宋" w:hAnsi="仿宋" w:eastAsia="仿宋" w:cs="仿宋"/>
                <w:color w:val="3F3F3F"/>
                <w:kern w:val="0"/>
                <w:sz w:val="24"/>
                <w:shd w:val="clear" w:color="auto" w:fill="FFFFFF"/>
                <w:lang w:bidi="ar"/>
              </w:rPr>
            </w:pPr>
          </w:p>
          <w:p w14:paraId="5FC97FE4">
            <w:pPr>
              <w:widowControl/>
              <w:spacing w:line="420" w:lineRule="atLeast"/>
              <w:jc w:val="left"/>
              <w:rPr>
                <w:rFonts w:hint="eastAsia" w:ascii="仿宋" w:hAnsi="仿宋" w:eastAsia="仿宋" w:cs="仿宋"/>
                <w:b/>
                <w:bCs/>
                <w:color w:val="3F3F3F"/>
                <w:kern w:val="0"/>
                <w:sz w:val="24"/>
                <w:shd w:val="clear" w:color="auto" w:fill="FFFFFF"/>
                <w:lang w:bidi="ar"/>
              </w:rPr>
            </w:pPr>
            <w:r>
              <w:rPr>
                <w:rFonts w:hint="eastAsia" w:ascii="仿宋" w:hAnsi="仿宋" w:eastAsia="仿宋" w:cs="仿宋"/>
                <w:b/>
                <w:bCs/>
                <w:color w:val="3F3F3F"/>
                <w:kern w:val="0"/>
                <w:sz w:val="24"/>
                <w:shd w:val="clear" w:color="auto" w:fill="FFFFFF"/>
                <w:lang w:bidi="ar"/>
              </w:rPr>
              <w:t>0854电子信息</w:t>
            </w:r>
          </w:p>
          <w:p w14:paraId="503C3168">
            <w:pPr>
              <w:widowControl/>
              <w:spacing w:line="420" w:lineRule="atLeast"/>
              <w:jc w:val="left"/>
              <w:rPr>
                <w:rFonts w:hint="eastAsia" w:ascii="仿宋" w:hAnsi="仿宋" w:eastAsia="仿宋" w:cs="仿宋"/>
                <w:color w:val="333333"/>
                <w:szCs w:val="21"/>
              </w:rPr>
            </w:pPr>
            <w:r>
              <w:rPr>
                <w:rFonts w:hint="eastAsia" w:ascii="仿宋" w:hAnsi="仿宋" w:eastAsia="仿宋" w:cs="仿宋"/>
                <w:color w:val="3F3F3F"/>
                <w:kern w:val="0"/>
                <w:sz w:val="24"/>
                <w:lang w:bidi="ar"/>
              </w:rPr>
              <w:t>08</w:t>
            </w:r>
            <w:r>
              <w:rPr>
                <w:rFonts w:ascii="仿宋" w:hAnsi="仿宋" w:eastAsia="仿宋" w:cs="仿宋"/>
                <w:color w:val="3F3F3F"/>
                <w:kern w:val="0"/>
                <w:sz w:val="24"/>
                <w:lang w:bidi="ar"/>
              </w:rPr>
              <w:t>54</w:t>
            </w:r>
            <w:r>
              <w:rPr>
                <w:rFonts w:hint="eastAsia" w:ascii="仿宋" w:hAnsi="仿宋" w:eastAsia="仿宋" w:cs="仿宋"/>
                <w:color w:val="3F3F3F"/>
                <w:kern w:val="0"/>
                <w:sz w:val="24"/>
                <w:lang w:bidi="ar"/>
              </w:rPr>
              <w:t>01 </w:t>
            </w:r>
            <w:r>
              <w:rPr>
                <w:rFonts w:hint="eastAsia" w:ascii="仿宋" w:hAnsi="仿宋" w:eastAsia="仿宋" w:cs="仿宋"/>
                <w:color w:val="3F3F3F"/>
                <w:kern w:val="0"/>
                <w:sz w:val="24"/>
                <w:shd w:val="clear" w:color="auto" w:fill="FFFFFF"/>
                <w:lang w:bidi="ar"/>
              </w:rPr>
              <w:t>疾病检测与诊断：②组或③组； </w:t>
            </w:r>
          </w:p>
          <w:p w14:paraId="30404BFB">
            <w:pPr>
              <w:widowControl/>
              <w:spacing w:line="420" w:lineRule="atLeast"/>
              <w:jc w:val="left"/>
              <w:rPr>
                <w:rFonts w:hint="eastAsia" w:ascii="仿宋" w:hAnsi="仿宋" w:eastAsia="仿宋" w:cs="仿宋"/>
                <w:color w:val="333333"/>
                <w:szCs w:val="21"/>
              </w:rPr>
            </w:pPr>
            <w:r>
              <w:rPr>
                <w:rFonts w:hint="eastAsia" w:ascii="仿宋" w:hAnsi="仿宋" w:eastAsia="仿宋" w:cs="仿宋"/>
                <w:color w:val="3F3F3F"/>
                <w:kern w:val="0"/>
                <w:sz w:val="24"/>
                <w:shd w:val="clear" w:color="auto" w:fill="FFFFFF"/>
                <w:lang w:bidi="ar"/>
              </w:rPr>
              <w:t>08</w:t>
            </w:r>
            <w:r>
              <w:rPr>
                <w:rFonts w:ascii="仿宋" w:hAnsi="仿宋" w:eastAsia="仿宋" w:cs="仿宋"/>
                <w:color w:val="3F3F3F"/>
                <w:kern w:val="0"/>
                <w:sz w:val="24"/>
                <w:shd w:val="clear" w:color="auto" w:fill="FFFFFF"/>
                <w:lang w:bidi="ar"/>
              </w:rPr>
              <w:t>54</w:t>
            </w:r>
            <w:r>
              <w:rPr>
                <w:rFonts w:hint="eastAsia" w:ascii="仿宋" w:hAnsi="仿宋" w:eastAsia="仿宋" w:cs="仿宋"/>
                <w:color w:val="3F3F3F"/>
                <w:kern w:val="0"/>
                <w:sz w:val="24"/>
                <w:shd w:val="clear" w:color="auto" w:fill="FFFFFF"/>
                <w:lang w:bidi="ar"/>
              </w:rPr>
              <w:t>02 先进治疗技术：②组或③组；</w:t>
            </w:r>
          </w:p>
          <w:p w14:paraId="1F963969">
            <w:pPr>
              <w:spacing w:line="360" w:lineRule="exact"/>
              <w:rPr>
                <w:rFonts w:hint="eastAsia" w:ascii="仿宋" w:hAnsi="仿宋" w:eastAsia="仿宋" w:cs="仿宋"/>
                <w:sz w:val="24"/>
              </w:rPr>
            </w:pPr>
            <w:r>
              <w:rPr>
                <w:rFonts w:hint="eastAsia" w:ascii="仿宋" w:hAnsi="仿宋" w:eastAsia="仿宋" w:cs="仿宋"/>
                <w:color w:val="3F3F3F"/>
                <w:kern w:val="0"/>
                <w:sz w:val="24"/>
                <w:shd w:val="clear" w:color="auto" w:fill="FFFFFF"/>
                <w:lang w:bidi="ar"/>
              </w:rPr>
              <w:t>08</w:t>
            </w:r>
            <w:r>
              <w:rPr>
                <w:rFonts w:ascii="仿宋" w:hAnsi="仿宋" w:eastAsia="仿宋" w:cs="仿宋"/>
                <w:color w:val="3F3F3F"/>
                <w:kern w:val="0"/>
                <w:sz w:val="24"/>
                <w:shd w:val="clear" w:color="auto" w:fill="FFFFFF"/>
                <w:lang w:bidi="ar"/>
              </w:rPr>
              <w:t>54</w:t>
            </w:r>
            <w:r>
              <w:rPr>
                <w:rFonts w:hint="eastAsia" w:ascii="仿宋" w:hAnsi="仿宋" w:eastAsia="仿宋" w:cs="仿宋"/>
                <w:color w:val="3F3F3F"/>
                <w:kern w:val="0"/>
                <w:sz w:val="24"/>
                <w:shd w:val="clear" w:color="auto" w:fill="FFFFFF"/>
                <w:lang w:bidi="ar"/>
              </w:rPr>
              <w:t>03</w:t>
            </w:r>
            <w:r>
              <w:rPr>
                <w:rFonts w:ascii="仿宋" w:hAnsi="仿宋" w:eastAsia="仿宋" w:cs="仿宋"/>
                <w:color w:val="3F3F3F"/>
                <w:kern w:val="0"/>
                <w:sz w:val="24"/>
                <w:shd w:val="clear" w:color="auto" w:fill="FFFFFF"/>
                <w:lang w:bidi="ar"/>
              </w:rPr>
              <w:t xml:space="preserve">  </w:t>
            </w:r>
            <w:r>
              <w:rPr>
                <w:rFonts w:hint="eastAsia" w:ascii="仿宋" w:hAnsi="仿宋" w:eastAsia="仿宋" w:cs="仿宋"/>
                <w:color w:val="3F3F3F"/>
                <w:kern w:val="0"/>
                <w:sz w:val="24"/>
                <w:shd w:val="clear" w:color="auto" w:fill="FFFFFF"/>
                <w:lang w:bidi="ar"/>
              </w:rPr>
              <w:t>智慧医疗与健康：①组或②组或④组</w:t>
            </w:r>
          </w:p>
        </w:tc>
      </w:tr>
      <w:tr w14:paraId="67BFC1C0">
        <w:tblPrEx>
          <w:tblCellMar>
            <w:top w:w="0" w:type="dxa"/>
            <w:left w:w="108" w:type="dxa"/>
            <w:bottom w:w="0" w:type="dxa"/>
            <w:right w:w="108" w:type="dxa"/>
          </w:tblCellMar>
        </w:tblPrEx>
        <w:trPr>
          <w:trHeight w:val="312" w:hRule="atLeast"/>
          <w:jc w:val="center"/>
        </w:trPr>
        <w:tc>
          <w:tcPr>
            <w:tcW w:w="4822" w:type="dxa"/>
            <w:tcBorders>
              <w:top w:val="nil"/>
              <w:left w:val="single" w:color="auto" w:sz="4" w:space="0"/>
              <w:bottom w:val="single" w:color="auto" w:sz="4" w:space="0"/>
              <w:right w:val="single" w:color="auto" w:sz="4" w:space="0"/>
            </w:tcBorders>
            <w:noWrap/>
            <w:vAlign w:val="top"/>
          </w:tcPr>
          <w:p w14:paraId="220A50F7">
            <w:pPr>
              <w:spacing w:line="360" w:lineRule="exact"/>
              <w:rPr>
                <w:rFonts w:hint="eastAsia" w:ascii="仿宋" w:hAnsi="仿宋" w:eastAsia="仿宋" w:cs="仿宋"/>
                <w:sz w:val="24"/>
              </w:rPr>
            </w:pPr>
            <w:r>
              <w:rPr>
                <w:rFonts w:hint="eastAsia" w:ascii="仿宋" w:hAnsi="仿宋" w:eastAsia="仿宋" w:cs="仿宋"/>
                <w:sz w:val="24"/>
              </w:rPr>
              <w:t>② 智能医学工程</w:t>
            </w:r>
          </w:p>
          <w:p w14:paraId="1DE177F8">
            <w:pPr>
              <w:spacing w:line="360" w:lineRule="exact"/>
              <w:rPr>
                <w:rFonts w:hint="eastAsia" w:ascii="仿宋" w:hAnsi="仿宋" w:eastAsia="仿宋" w:cs="仿宋"/>
                <w:sz w:val="24"/>
              </w:rPr>
            </w:pPr>
            <w:r>
              <w:rPr>
                <w:rFonts w:hint="eastAsia" w:ascii="仿宋" w:hAnsi="仿宋" w:eastAsia="仿宋" w:cs="仿宋"/>
                <w:sz w:val="24"/>
              </w:rPr>
              <w:t>2-1.计算思维能力：考查学生运用算法思维解决问题的能力。</w:t>
            </w:r>
          </w:p>
          <w:p w14:paraId="2758904D">
            <w:pPr>
              <w:spacing w:line="360" w:lineRule="exact"/>
              <w:rPr>
                <w:rFonts w:hint="eastAsia" w:ascii="仿宋" w:hAnsi="仿宋" w:eastAsia="仿宋" w:cs="仿宋"/>
                <w:sz w:val="24"/>
              </w:rPr>
            </w:pPr>
            <w:r>
              <w:rPr>
                <w:rFonts w:hint="eastAsia" w:ascii="仿宋" w:hAnsi="仿宋" w:eastAsia="仿宋" w:cs="仿宋"/>
                <w:sz w:val="24"/>
              </w:rPr>
              <w:t>2-2.问题求解能力：考查学生综合运用知识解决问题的能力。</w:t>
            </w:r>
          </w:p>
          <w:p w14:paraId="0E64BDAD">
            <w:pPr>
              <w:spacing w:line="360" w:lineRule="exact"/>
              <w:rPr>
                <w:rFonts w:hint="eastAsia" w:ascii="仿宋" w:hAnsi="仿宋" w:eastAsia="仿宋" w:cs="仿宋"/>
                <w:sz w:val="24"/>
              </w:rPr>
            </w:pPr>
            <w:r>
              <w:rPr>
                <w:rFonts w:hint="eastAsia" w:ascii="仿宋" w:hAnsi="仿宋" w:eastAsia="仿宋" w:cs="仿宋"/>
                <w:sz w:val="24"/>
              </w:rPr>
              <w:t>2-3.专业基础知识：考察智能医学工程核心课程的基础知识掌握情况，内容涵盖信号与系统、计算机系统、算法与数据结构等。</w:t>
            </w:r>
          </w:p>
        </w:tc>
        <w:tc>
          <w:tcPr>
            <w:tcW w:w="3736" w:type="dxa"/>
            <w:vMerge w:val="continue"/>
            <w:tcBorders>
              <w:left w:val="nil"/>
              <w:right w:val="single" w:color="auto" w:sz="4" w:space="0"/>
            </w:tcBorders>
            <w:noWrap/>
            <w:vAlign w:val="center"/>
          </w:tcPr>
          <w:p w14:paraId="5C4FE8A8">
            <w:pPr>
              <w:spacing w:line="360" w:lineRule="exact"/>
              <w:rPr>
                <w:rFonts w:hint="eastAsia" w:ascii="仿宋" w:hAnsi="仿宋" w:eastAsia="仿宋" w:cs="仿宋"/>
                <w:sz w:val="24"/>
              </w:rPr>
            </w:pPr>
          </w:p>
        </w:tc>
      </w:tr>
      <w:tr w14:paraId="55A21488">
        <w:tblPrEx>
          <w:tblCellMar>
            <w:top w:w="0" w:type="dxa"/>
            <w:left w:w="108" w:type="dxa"/>
            <w:bottom w:w="0" w:type="dxa"/>
            <w:right w:w="108" w:type="dxa"/>
          </w:tblCellMar>
        </w:tblPrEx>
        <w:trPr>
          <w:trHeight w:val="312" w:hRule="atLeast"/>
          <w:jc w:val="center"/>
        </w:trPr>
        <w:tc>
          <w:tcPr>
            <w:tcW w:w="4822" w:type="dxa"/>
            <w:tcBorders>
              <w:top w:val="nil"/>
              <w:left w:val="single" w:color="auto" w:sz="4" w:space="0"/>
              <w:bottom w:val="single" w:color="auto" w:sz="4" w:space="0"/>
              <w:right w:val="single" w:color="auto" w:sz="4" w:space="0"/>
            </w:tcBorders>
            <w:noWrap/>
            <w:vAlign w:val="top"/>
          </w:tcPr>
          <w:p w14:paraId="11980080">
            <w:pPr>
              <w:spacing w:line="360" w:lineRule="exact"/>
              <w:rPr>
                <w:rFonts w:hint="eastAsia" w:ascii="仿宋" w:hAnsi="仿宋" w:eastAsia="仿宋" w:cs="仿宋"/>
                <w:sz w:val="24"/>
              </w:rPr>
            </w:pPr>
            <w:r>
              <w:rPr>
                <w:rFonts w:hint="eastAsia" w:ascii="仿宋" w:hAnsi="仿宋" w:eastAsia="仿宋" w:cs="仿宋"/>
                <w:sz w:val="24"/>
              </w:rPr>
              <w:t>③ 纳米医学与药物</w:t>
            </w:r>
          </w:p>
          <w:p w14:paraId="5DD0CDED">
            <w:pPr>
              <w:spacing w:line="360" w:lineRule="exact"/>
              <w:rPr>
                <w:rFonts w:hint="eastAsia" w:ascii="仿宋" w:hAnsi="仿宋" w:eastAsia="仿宋" w:cs="仿宋"/>
                <w:sz w:val="24"/>
              </w:rPr>
            </w:pPr>
            <w:r>
              <w:rPr>
                <w:rFonts w:hint="eastAsia" w:ascii="仿宋" w:hAnsi="仿宋" w:eastAsia="仿宋" w:cs="仿宋"/>
                <w:sz w:val="24"/>
              </w:rPr>
              <w:t>3-1.实践实验能力：考察学生实验方案设计、实验过程操作、实验结果总结与分析的综合能力。</w:t>
            </w:r>
          </w:p>
          <w:p w14:paraId="40A8F5DE">
            <w:pPr>
              <w:spacing w:line="360" w:lineRule="exact"/>
              <w:rPr>
                <w:rFonts w:hint="eastAsia" w:ascii="仿宋" w:hAnsi="仿宋" w:eastAsia="仿宋" w:cs="仿宋"/>
                <w:sz w:val="24"/>
              </w:rPr>
            </w:pPr>
            <w:r>
              <w:rPr>
                <w:rFonts w:hint="eastAsia" w:ascii="仿宋" w:hAnsi="仿宋" w:eastAsia="仿宋" w:cs="仿宋"/>
                <w:sz w:val="24"/>
              </w:rPr>
              <w:t>3-2.问题求解能力：考察学生综合运用知识解决问题的能力。</w:t>
            </w:r>
          </w:p>
          <w:p w14:paraId="0E06B29A">
            <w:pPr>
              <w:spacing w:line="360" w:lineRule="exact"/>
              <w:rPr>
                <w:rFonts w:hint="eastAsia" w:ascii="仿宋" w:hAnsi="仿宋" w:eastAsia="仿宋" w:cs="仿宋"/>
                <w:sz w:val="24"/>
              </w:rPr>
            </w:pPr>
            <w:r>
              <w:rPr>
                <w:rFonts w:hint="eastAsia" w:ascii="仿宋" w:hAnsi="仿宋" w:eastAsia="仿宋" w:cs="仿宋"/>
                <w:sz w:val="24"/>
              </w:rPr>
              <w:t>3-3.专业基础知识：考察学生纳米医学与药物核心课程的基础知识掌握情况，内容涵盖生物化学、材料科学基础、生物物理等。</w:t>
            </w:r>
          </w:p>
        </w:tc>
        <w:tc>
          <w:tcPr>
            <w:tcW w:w="3736" w:type="dxa"/>
            <w:vMerge w:val="continue"/>
            <w:tcBorders>
              <w:left w:val="nil"/>
              <w:right w:val="single" w:color="auto" w:sz="4" w:space="0"/>
            </w:tcBorders>
            <w:noWrap/>
            <w:vAlign w:val="center"/>
          </w:tcPr>
          <w:p w14:paraId="3464FAD2">
            <w:pPr>
              <w:spacing w:line="360" w:lineRule="exact"/>
              <w:rPr>
                <w:rFonts w:hint="eastAsia" w:ascii="仿宋" w:hAnsi="仿宋" w:eastAsia="仿宋" w:cs="仿宋"/>
                <w:sz w:val="24"/>
              </w:rPr>
            </w:pPr>
          </w:p>
        </w:tc>
      </w:tr>
      <w:tr w14:paraId="724AE6BD">
        <w:tblPrEx>
          <w:tblCellMar>
            <w:top w:w="0" w:type="dxa"/>
            <w:left w:w="108" w:type="dxa"/>
            <w:bottom w:w="0" w:type="dxa"/>
            <w:right w:w="108" w:type="dxa"/>
          </w:tblCellMar>
        </w:tblPrEx>
        <w:trPr>
          <w:trHeight w:val="312" w:hRule="atLeast"/>
          <w:jc w:val="center"/>
        </w:trPr>
        <w:tc>
          <w:tcPr>
            <w:tcW w:w="4822" w:type="dxa"/>
            <w:tcBorders>
              <w:top w:val="nil"/>
              <w:left w:val="single" w:color="auto" w:sz="4" w:space="0"/>
              <w:bottom w:val="single" w:color="auto" w:sz="4" w:space="0"/>
              <w:right w:val="single" w:color="auto" w:sz="4" w:space="0"/>
            </w:tcBorders>
            <w:noWrap/>
            <w:vAlign w:val="top"/>
          </w:tcPr>
          <w:p w14:paraId="7BFA3781">
            <w:pPr>
              <w:spacing w:line="360" w:lineRule="exact"/>
              <w:rPr>
                <w:rFonts w:hint="eastAsia" w:ascii="仿宋" w:hAnsi="仿宋" w:eastAsia="仿宋" w:cs="仿宋"/>
                <w:sz w:val="24"/>
              </w:rPr>
            </w:pPr>
            <w:r>
              <w:rPr>
                <w:rFonts w:hint="eastAsia" w:ascii="仿宋" w:hAnsi="仿宋" w:eastAsia="仿宋" w:cs="仿宋"/>
                <w:sz w:val="24"/>
              </w:rPr>
              <w:t>④ 食品科学与工程</w:t>
            </w:r>
          </w:p>
          <w:p w14:paraId="09FDFB0C">
            <w:pPr>
              <w:spacing w:line="360" w:lineRule="exact"/>
              <w:rPr>
                <w:rFonts w:hint="eastAsia" w:ascii="仿宋" w:hAnsi="仿宋" w:eastAsia="仿宋" w:cs="仿宋"/>
                <w:sz w:val="24"/>
              </w:rPr>
            </w:pPr>
            <w:r>
              <w:rPr>
                <w:rFonts w:hint="eastAsia" w:ascii="仿宋" w:hAnsi="仿宋" w:eastAsia="仿宋" w:cs="仿宋"/>
                <w:sz w:val="24"/>
              </w:rPr>
              <w:t>4-1.重点考察考生对本学科专业基础知识和专业知识的综合掌握情况，内容涵盖食品科学与工程学科对应的本科食品化学、食品微生物学、食品工程原理、食品工艺学等主干专业基础课和专业课。</w:t>
            </w:r>
          </w:p>
        </w:tc>
        <w:tc>
          <w:tcPr>
            <w:tcW w:w="3736" w:type="dxa"/>
            <w:vMerge w:val="continue"/>
            <w:tcBorders>
              <w:left w:val="nil"/>
              <w:bottom w:val="single" w:color="auto" w:sz="4" w:space="0"/>
              <w:right w:val="single" w:color="auto" w:sz="4" w:space="0"/>
            </w:tcBorders>
            <w:noWrap/>
            <w:vAlign w:val="center"/>
          </w:tcPr>
          <w:p w14:paraId="442E19DB">
            <w:pPr>
              <w:spacing w:line="360" w:lineRule="exact"/>
              <w:rPr>
                <w:rFonts w:hint="eastAsia" w:ascii="仿宋" w:hAnsi="仿宋" w:eastAsia="仿宋" w:cs="仿宋"/>
                <w:sz w:val="24"/>
              </w:rPr>
            </w:pPr>
          </w:p>
        </w:tc>
      </w:tr>
    </w:tbl>
    <w:p w14:paraId="02F1952D">
      <w:pPr>
        <w:spacing w:line="360" w:lineRule="auto"/>
        <w:ind w:firstLine="480" w:firstLineChars="200"/>
        <w:rPr>
          <w:rFonts w:hint="eastAsia" w:ascii="仿宋_GB2312" w:eastAsia="仿宋_GB2312"/>
          <w:sz w:val="24"/>
        </w:rPr>
      </w:pPr>
      <w:r>
        <w:rPr>
          <w:rFonts w:hint="eastAsia" w:ascii="仿宋_GB2312" w:eastAsia="仿宋_GB2312"/>
          <w:sz w:val="24"/>
        </w:rPr>
        <w:t xml:space="preserve"> </w:t>
      </w:r>
    </w:p>
    <w:p w14:paraId="0D4E24A7">
      <w:pPr>
        <w:numPr>
          <w:ilvl w:val="0"/>
          <w:numId w:val="1"/>
        </w:numPr>
        <w:spacing w:line="360" w:lineRule="auto"/>
        <w:outlineLvl w:val="0"/>
        <w:rPr>
          <w:rFonts w:hint="eastAsia" w:ascii="仿宋_GB2312" w:eastAsia="仿宋_GB2312"/>
          <w:b w:val="0"/>
          <w:bCs w:val="0"/>
          <w:sz w:val="24"/>
        </w:rPr>
      </w:pPr>
      <w:r>
        <w:rPr>
          <w:rFonts w:hint="eastAsia" w:ascii="仿宋_GB2312" w:eastAsia="仿宋_GB2312"/>
          <w:b w:val="0"/>
          <w:bCs w:val="0"/>
          <w:sz w:val="24"/>
        </w:rPr>
        <w:t>面试主要内容包括:</w:t>
      </w:r>
    </w:p>
    <w:p w14:paraId="20DFD96F">
      <w:pPr>
        <w:spacing w:line="360" w:lineRule="auto"/>
        <w:ind w:firstLine="480" w:firstLineChars="200"/>
        <w:rPr>
          <w:rFonts w:hint="eastAsia" w:ascii="仿宋_GB2312" w:eastAsia="仿宋_GB2312"/>
          <w:sz w:val="24"/>
        </w:rPr>
      </w:pPr>
      <w:r>
        <w:rPr>
          <w:rFonts w:hint="eastAsia" w:ascii="仿宋_GB2312" w:eastAsia="仿宋_GB2312"/>
          <w:sz w:val="24"/>
        </w:rPr>
        <w:t>1)从事科研工作的基础与能力;</w:t>
      </w:r>
    </w:p>
    <w:p w14:paraId="50F53191">
      <w:pPr>
        <w:spacing w:line="360" w:lineRule="auto"/>
        <w:ind w:firstLine="480" w:firstLineChars="200"/>
        <w:rPr>
          <w:rFonts w:hint="eastAsia" w:ascii="仿宋_GB2312" w:eastAsia="仿宋_GB2312"/>
          <w:sz w:val="24"/>
        </w:rPr>
      </w:pPr>
      <w:r>
        <w:rPr>
          <w:rFonts w:hint="eastAsia" w:ascii="仿宋_GB2312" w:eastAsia="仿宋_GB2312"/>
          <w:sz w:val="24"/>
        </w:rPr>
        <w:t>2)综合分析与语言表达能力;</w:t>
      </w:r>
    </w:p>
    <w:p w14:paraId="2FA6BD0B">
      <w:pPr>
        <w:spacing w:line="360" w:lineRule="auto"/>
        <w:ind w:firstLine="480" w:firstLineChars="200"/>
        <w:rPr>
          <w:rFonts w:hint="eastAsia" w:ascii="仿宋_GB2312" w:eastAsia="仿宋_GB2312"/>
          <w:sz w:val="24"/>
        </w:rPr>
      </w:pPr>
      <w:r>
        <w:rPr>
          <w:rFonts w:hint="eastAsia" w:ascii="仿宋_GB2312" w:eastAsia="仿宋_GB2312"/>
          <w:sz w:val="24"/>
        </w:rPr>
        <w:t>3)大学学习情况及学习成绩;</w:t>
      </w:r>
    </w:p>
    <w:p w14:paraId="5F205C33">
      <w:pPr>
        <w:spacing w:line="360" w:lineRule="auto"/>
        <w:ind w:firstLine="480" w:firstLineChars="200"/>
        <w:rPr>
          <w:rFonts w:hint="eastAsia" w:ascii="仿宋_GB2312" w:eastAsia="仿宋_GB2312"/>
          <w:sz w:val="24"/>
        </w:rPr>
      </w:pPr>
      <w:r>
        <w:rPr>
          <w:rFonts w:hint="eastAsia" w:ascii="仿宋_GB2312" w:eastAsia="仿宋_GB2312"/>
          <w:sz w:val="24"/>
        </w:rPr>
        <w:t>4)专业课以外其他知识技能的掌握情况;</w:t>
      </w:r>
    </w:p>
    <w:p w14:paraId="25DFBD6C">
      <w:pPr>
        <w:spacing w:line="360" w:lineRule="auto"/>
        <w:ind w:firstLine="480" w:firstLineChars="200"/>
        <w:rPr>
          <w:rFonts w:hint="eastAsia" w:ascii="仿宋_GB2312" w:eastAsia="仿宋_GB2312"/>
          <w:sz w:val="24"/>
        </w:rPr>
      </w:pPr>
      <w:r>
        <w:rPr>
          <w:rFonts w:hint="eastAsia" w:ascii="仿宋_GB2312" w:eastAsia="仿宋_GB2312"/>
          <w:sz w:val="24"/>
        </w:rPr>
        <w:t>5)特长与兴趣;</w:t>
      </w:r>
    </w:p>
    <w:p w14:paraId="5FBEACF4">
      <w:pPr>
        <w:spacing w:line="360" w:lineRule="auto"/>
        <w:ind w:firstLine="480" w:firstLineChars="200"/>
        <w:rPr>
          <w:rFonts w:hint="eastAsia" w:ascii="仿宋_GB2312" w:eastAsia="仿宋_GB2312"/>
          <w:sz w:val="24"/>
        </w:rPr>
      </w:pPr>
      <w:r>
        <w:rPr>
          <w:rFonts w:hint="eastAsia" w:ascii="仿宋_GB2312" w:eastAsia="仿宋_GB2312"/>
          <w:sz w:val="24"/>
        </w:rPr>
        <w:t>6)身心健康状况。</w:t>
      </w:r>
    </w:p>
    <w:p w14:paraId="4B88808A">
      <w:pPr>
        <w:numPr>
          <w:ilvl w:val="0"/>
          <w:numId w:val="1"/>
        </w:numPr>
        <w:spacing w:line="360" w:lineRule="auto"/>
        <w:outlineLvl w:val="0"/>
        <w:rPr>
          <w:rFonts w:hint="eastAsia" w:ascii="仿宋_GB2312" w:eastAsia="仿宋_GB2312"/>
          <w:b w:val="0"/>
          <w:bCs w:val="0"/>
          <w:sz w:val="24"/>
        </w:rPr>
      </w:pPr>
      <w:r>
        <w:rPr>
          <w:rFonts w:hint="eastAsia" w:ascii="仿宋_GB2312" w:eastAsia="仿宋_GB2312"/>
          <w:b w:val="0"/>
          <w:bCs w:val="0"/>
          <w:sz w:val="24"/>
        </w:rPr>
        <w:t>具体考核形式届时以复试方案为准。</w:t>
      </w:r>
    </w:p>
    <w:p w14:paraId="76298865">
      <w:pPr>
        <w:widowControl/>
        <w:shd w:val="clear" w:color="auto" w:fill="FEFEFE"/>
        <w:adjustRightInd w:val="0"/>
        <w:snapToGrid w:val="0"/>
        <w:spacing w:line="360" w:lineRule="auto"/>
        <w:rPr>
          <w:rFonts w:hint="eastAsia" w:ascii="仿宋_GB2312" w:hAnsi="宋体" w:eastAsia="仿宋_GB2312" w:cs="宋体"/>
          <w:color w:val="000000"/>
          <w:kern w:val="0"/>
          <w:sz w:val="24"/>
        </w:rPr>
      </w:pPr>
    </w:p>
    <w:p w14:paraId="5786FC27">
      <w:pPr>
        <w:widowControl/>
        <w:shd w:val="clear" w:color="auto" w:fill="FEFEFE"/>
        <w:adjustRightInd w:val="0"/>
        <w:snapToGrid w:val="0"/>
        <w:spacing w:line="360" w:lineRule="auto"/>
        <w:ind w:firstLine="720" w:firstLineChars="300"/>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联 系 人：张老师</w:t>
      </w:r>
    </w:p>
    <w:p w14:paraId="0F747C09">
      <w:pPr>
        <w:widowControl/>
        <w:shd w:val="clear" w:color="auto" w:fill="FEFEFE"/>
        <w:adjustRightInd w:val="0"/>
        <w:snapToGrid w:val="0"/>
        <w:spacing w:line="360" w:lineRule="auto"/>
        <w:ind w:firstLine="720" w:firstLineChars="300"/>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联系电话：0451－86416944</w:t>
      </w:r>
    </w:p>
    <w:p w14:paraId="3AD4301F">
      <w:pPr>
        <w:widowControl/>
        <w:shd w:val="clear" w:color="auto" w:fill="FEFEFE"/>
        <w:adjustRightInd w:val="0"/>
        <w:snapToGrid w:val="0"/>
        <w:spacing w:line="360" w:lineRule="auto"/>
        <w:ind w:firstLine="720" w:firstLineChars="300"/>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E-MAIL：</w:t>
      </w:r>
      <w:r>
        <w:rPr>
          <w:rFonts w:ascii="仿宋_GB2312" w:hAnsi="宋体" w:eastAsia="仿宋_GB2312" w:cs="宋体"/>
          <w:color w:val="000000"/>
          <w:kern w:val="0"/>
          <w:sz w:val="24"/>
        </w:rPr>
        <w:fldChar w:fldCharType="begin"/>
      </w:r>
      <w:r>
        <w:rPr>
          <w:rFonts w:ascii="仿宋_GB2312" w:hAnsi="宋体" w:eastAsia="仿宋_GB2312" w:cs="宋体"/>
          <w:color w:val="000000"/>
          <w:kern w:val="0"/>
          <w:sz w:val="24"/>
        </w:rPr>
        <w:instrText xml:space="preserve"> HYPERLINK "mailto:</w:instrText>
      </w:r>
      <w:r>
        <w:rPr>
          <w:rFonts w:hint="eastAsia" w:ascii="仿宋_GB2312" w:hAnsi="宋体" w:eastAsia="仿宋_GB2312" w:cs="宋体"/>
          <w:color w:val="000000"/>
          <w:kern w:val="0"/>
          <w:sz w:val="24"/>
        </w:rPr>
        <w:instrText xml:space="preserve">hitlife28@163.com</w:instrText>
      </w:r>
      <w:r>
        <w:rPr>
          <w:rFonts w:ascii="仿宋_GB2312" w:hAnsi="宋体" w:eastAsia="仿宋_GB2312" w:cs="宋体"/>
          <w:color w:val="000000"/>
          <w:kern w:val="0"/>
          <w:sz w:val="24"/>
        </w:rPr>
        <w:instrText xml:space="preserve">" </w:instrText>
      </w:r>
      <w:r>
        <w:rPr>
          <w:rFonts w:ascii="仿宋_GB2312" w:hAnsi="宋体" w:eastAsia="仿宋_GB2312" w:cs="宋体"/>
          <w:color w:val="000000"/>
          <w:kern w:val="0"/>
          <w:sz w:val="24"/>
        </w:rPr>
        <w:fldChar w:fldCharType="separate"/>
      </w:r>
      <w:r>
        <w:rPr>
          <w:rStyle w:val="6"/>
          <w:rFonts w:hint="eastAsia" w:ascii="仿宋_GB2312" w:hAnsi="宋体" w:eastAsia="仿宋_GB2312" w:cs="宋体"/>
          <w:kern w:val="0"/>
          <w:sz w:val="24"/>
        </w:rPr>
        <w:t>nancy0481@hit.edu.cn</w:t>
      </w:r>
      <w:r>
        <w:rPr>
          <w:rFonts w:ascii="仿宋_GB2312" w:hAnsi="宋体" w:eastAsia="仿宋_GB2312" w:cs="宋体"/>
          <w:color w:val="000000"/>
          <w:kern w:val="0"/>
          <w:sz w:val="24"/>
        </w:rPr>
        <w:fldChar w:fldCharType="end"/>
      </w:r>
      <w:bookmarkStart w:id="0" w:name="_GoBack"/>
      <w:bookmarkEnd w:id="0"/>
    </w:p>
    <w:p w14:paraId="57B42644">
      <w:pPr>
        <w:widowControl/>
        <w:shd w:val="clear" w:color="auto" w:fill="FEFEFE"/>
        <w:adjustRightInd w:val="0"/>
        <w:snapToGrid w:val="0"/>
        <w:spacing w:line="360" w:lineRule="auto"/>
        <w:ind w:firstLine="720" w:firstLineChars="300"/>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具体考核形式届时以复试方案为准。</w:t>
      </w:r>
    </w:p>
    <w:p w14:paraId="1352BEA7">
      <w:pPr>
        <w:spacing w:line="360" w:lineRule="auto"/>
        <w:jc w:val="right"/>
        <w:rPr>
          <w:rFonts w:hint="eastAsia" w:ascii="仿宋_GB2312" w:eastAsia="仿宋_GB2312"/>
          <w:color w:val="000000"/>
          <w:sz w:val="24"/>
        </w:rPr>
      </w:pPr>
      <w:r>
        <w:rPr>
          <w:rFonts w:hint="eastAsia" w:ascii="仿宋_GB2312" w:eastAsia="仿宋_GB2312"/>
          <w:color w:val="000000"/>
          <w:sz w:val="24"/>
        </w:rPr>
        <w:t>生命科学和医学学部</w:t>
      </w:r>
    </w:p>
    <w:p w14:paraId="120750A2">
      <w:pPr>
        <w:spacing w:line="360" w:lineRule="auto"/>
        <w:jc w:val="right"/>
        <w:rPr>
          <w:rFonts w:hint="eastAsia" w:ascii="仿宋_GB2312" w:eastAsia="仿宋_GB2312"/>
          <w:color w:val="000000"/>
          <w:sz w:val="24"/>
        </w:rPr>
      </w:pPr>
      <w:r>
        <w:rPr>
          <w:rFonts w:hint="eastAsia" w:ascii="仿宋_GB2312" w:eastAsia="仿宋_GB2312"/>
          <w:color w:val="000000"/>
          <w:sz w:val="24"/>
        </w:rPr>
        <w:t>医学与健康学院</w:t>
      </w:r>
    </w:p>
    <w:p w14:paraId="0C6EA075">
      <w:pPr>
        <w:spacing w:line="360" w:lineRule="auto"/>
        <w:jc w:val="right"/>
        <w:rPr>
          <w:rFonts w:hint="eastAsia" w:ascii="仿宋_GB2312" w:eastAsia="仿宋_GB2312"/>
          <w:color w:val="000000"/>
          <w:sz w:val="24"/>
          <w:lang w:val="en-US" w:eastAsia="zh-CN"/>
        </w:rPr>
      </w:pPr>
      <w:r>
        <w:rPr>
          <w:rFonts w:hint="eastAsia" w:ascii="仿宋_GB2312" w:eastAsia="仿宋_GB2312"/>
          <w:color w:val="000000"/>
          <w:sz w:val="24"/>
        </w:rPr>
        <w:t>2025.1.</w:t>
      </w:r>
      <w:r>
        <w:rPr>
          <w:rFonts w:hint="eastAsia" w:ascii="仿宋_GB2312" w:eastAsia="仿宋_GB2312"/>
          <w:color w:val="000000"/>
          <w:sz w:val="24"/>
          <w:lang w:val="en-US" w:eastAsia="zh-CN"/>
        </w:rPr>
        <w:t>10</w:t>
      </w:r>
    </w:p>
    <w:p w14:paraId="56352CCD">
      <w:pPr>
        <w:spacing w:line="360" w:lineRule="auto"/>
        <w:jc w:val="both"/>
        <w:rPr>
          <w:rFonts w:hint="eastAsia" w:ascii="仿宋_GB2312" w:eastAsia="仿宋_GB2312"/>
          <w:color w:val="000000"/>
          <w:sz w:val="24"/>
          <w:lang w:val="en-US" w:eastAsia="zh-CN"/>
        </w:rPr>
      </w:pPr>
    </w:p>
    <w:p w14:paraId="4B23A288">
      <w:pPr>
        <w:spacing w:line="360" w:lineRule="auto"/>
        <w:ind w:firstLine="4920" w:firstLineChars="2050"/>
        <w:jc w:val="right"/>
        <w:rPr>
          <w:rFonts w:hint="eastAsia" w:ascii="仿宋_GB2312" w:eastAsia="仿宋_GB2312"/>
          <w:color w:val="000000"/>
          <w:sz w:val="24"/>
        </w:rPr>
      </w:pPr>
    </w:p>
    <w:p w14:paraId="5813796F"/>
    <w:sectPr>
      <w:pgSz w:w="11906" w:h="16838"/>
      <w:pgMar w:top="1134" w:right="1134" w:bottom="1134"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altName w:val="宋体"/>
    <w:panose1 w:val="00000000000000000000"/>
    <w:charset w:val="86"/>
    <w:family w:val="auto"/>
    <w:pitch w:val="default"/>
    <w:sig w:usb0="00000000" w:usb1="00000000"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9EB0F8"/>
    <w:multiLevelType w:val="singleLevel"/>
    <w:tmpl w:val="439EB0F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586ACD"/>
    <w:rsid w:val="14586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 w:type="character" w:styleId="6">
    <w:name w:val="Hyperlink"/>
    <w:unhideWhenUsed/>
    <w:uiPriority w:val="99"/>
    <w:rPr>
      <w:color w:val="0563C1"/>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2025-01-10T14:46:00Z</dcterms:created>
  <dc:creator>楠曦_Nancy</dc:creator>
  <cp:lastModifiedBy>楠曦_Nancy</cp:lastModifiedBy>
  <dcterms:modified xsi:type="dcterms:W3CDTF">2025-01-10T14:57:56Z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14FB9C01E0914901978E6F1990DCC8D6_11</vt:lpwstr>
  </property>
  <property fmtid="{D5CDD505-2E9C-101B-9397-08002B2CF9AE}" pid="4" name="KSOTemplateDocerSaveRecord">
    <vt:lpwstr>eyJoZGlkIjoiMTQxZmIwNmE1ZTg0MTY1YjkyOTZiNGMxZjc2YzczMjMiLCJ1c2VySWQiOiI3NjE5Njc1MDcifQ==</vt:lpwstr>
  </property>
</Properties>
</file>